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方正小标宋简体" w:eastAsia="方正小标宋简体" w:cs="方正小标宋简体"/>
          <w:sz w:val="44"/>
          <w:szCs w:val="44"/>
        </w:rPr>
      </w:pPr>
    </w:p>
    <w:p>
      <w:pPr>
        <w:pStyle w:val="2"/>
        <w:rPr>
          <w:rFonts w:ascii="方正小标宋简体" w:hAnsi="方正小标宋简体" w:eastAsia="方正小标宋简体" w:cs="方正小标宋简体"/>
          <w:sz w:val="44"/>
          <w:szCs w:val="44"/>
        </w:rPr>
      </w:pPr>
    </w:p>
    <w:p>
      <w:pPr>
        <w:rPr>
          <w:rFonts w:ascii="方正小标宋简体" w:hAnsi="方正小标宋简体" w:eastAsia="方正小标宋简体" w:cs="方正小标宋简体"/>
          <w:sz w:val="44"/>
          <w:szCs w:val="44"/>
        </w:rPr>
      </w:pPr>
    </w:p>
    <w:p>
      <w:pPr>
        <w:pStyle w:val="2"/>
        <w:rPr>
          <w:rFonts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340" w:lineRule="exact"/>
        <w:textAlignment w:val="auto"/>
      </w:pPr>
    </w:p>
    <w:p>
      <w:pPr>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滕政办发</w:t>
      </w:r>
      <w:r>
        <w:rPr>
          <w:rFonts w:hint="eastAsia" w:ascii="楷体_GB2312" w:hAnsi="楷体_GB2312" w:eastAsia="楷体_GB2312" w:cs="楷体_GB2312"/>
          <w:snapToGrid w:val="0"/>
          <w:color w:val="000000"/>
          <w:spacing w:val="0"/>
          <w:w w:val="100"/>
          <w:kern w:val="0"/>
          <w:sz w:val="32"/>
          <w:szCs w:val="32"/>
        </w:rPr>
        <w:t>〔202</w:t>
      </w:r>
      <w:r>
        <w:rPr>
          <w:rFonts w:hint="eastAsia" w:ascii="楷体_GB2312" w:hAnsi="楷体_GB2312" w:eastAsia="楷体_GB2312" w:cs="楷体_GB2312"/>
          <w:snapToGrid w:val="0"/>
          <w:color w:val="000000"/>
          <w:spacing w:val="0"/>
          <w:w w:val="100"/>
          <w:kern w:val="0"/>
          <w:sz w:val="32"/>
          <w:szCs w:val="32"/>
          <w:lang w:val="en-US" w:eastAsia="zh-CN"/>
        </w:rPr>
        <w:t>4</w:t>
      </w:r>
      <w:r>
        <w:rPr>
          <w:rFonts w:hint="eastAsia" w:ascii="楷体_GB2312" w:hAnsi="楷体_GB2312" w:eastAsia="楷体_GB2312" w:cs="楷体_GB2312"/>
          <w:snapToGrid w:val="0"/>
          <w:color w:val="000000"/>
          <w:spacing w:val="0"/>
          <w:w w:val="100"/>
          <w:kern w:val="0"/>
          <w:sz w:val="32"/>
          <w:szCs w:val="32"/>
        </w:rPr>
        <w:t>〕</w:t>
      </w:r>
      <w:r>
        <w:rPr>
          <w:rFonts w:hint="eastAsia" w:ascii="楷体_GB2312" w:hAnsi="楷体_GB2312" w:eastAsia="楷体_GB2312" w:cs="楷体_GB2312"/>
          <w:sz w:val="32"/>
          <w:szCs w:val="32"/>
          <w:lang w:val="en-US" w:eastAsia="zh-CN"/>
        </w:rPr>
        <w:t>10号</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方正小标宋简体" w:hAnsi="方正小标宋简体" w:eastAsia="方正小标宋简体" w:cs="方正小标宋简体"/>
          <w:sz w:val="44"/>
          <w:szCs w:val="44"/>
        </w:rPr>
      </w:pPr>
    </w:p>
    <w:p>
      <w:pPr>
        <w:spacing w:line="600" w:lineRule="exact"/>
        <w:jc w:val="center"/>
        <w:rPr>
          <w:rFonts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滕州市人民政府办公室</w:t>
      </w:r>
    </w:p>
    <w:p>
      <w:pPr>
        <w:spacing w:line="600" w:lineRule="exact"/>
        <w:jc w:val="center"/>
        <w:rPr>
          <w:rFonts w:ascii="黑体" w:hAnsi="黑体" w:eastAsia="黑体" w:cs="黑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eastAsia="zh-CN"/>
        </w:rPr>
        <w:t>印发市</w:t>
      </w:r>
      <w:r>
        <w:rPr>
          <w:rFonts w:hint="eastAsia" w:ascii="方正小标宋简体" w:hAnsi="方正小标宋简体" w:eastAsia="方正小标宋简体" w:cs="方正小标宋简体"/>
          <w:sz w:val="44"/>
          <w:szCs w:val="44"/>
        </w:rPr>
        <w:t>政府2024年度重大行政决策事项目录</w:t>
      </w:r>
      <w:r>
        <w:rPr>
          <w:rFonts w:hint="eastAsia" w:ascii="方正小标宋简体" w:hAnsi="方正小标宋简体" w:eastAsia="方正小标宋简体" w:cs="方正小标宋简体"/>
          <w:sz w:val="44"/>
          <w:szCs w:val="44"/>
          <w:lang w:eastAsia="zh-CN"/>
        </w:rPr>
        <w:t>和市政府常务会议2024年度学法计划</w:t>
      </w:r>
      <w:r>
        <w:rPr>
          <w:rFonts w:hint="eastAsia" w:ascii="方正小标宋简体" w:hAnsi="方正小标宋简体" w:eastAsia="方正小标宋简体" w:cs="方正小标宋简体"/>
          <w:sz w:val="44"/>
          <w:szCs w:val="44"/>
        </w:rPr>
        <w:t>的通</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知</w:t>
      </w:r>
    </w:p>
    <w:bookmarkEnd w:id="0"/>
    <w:p>
      <w:pPr>
        <w:spacing w:line="600" w:lineRule="exact"/>
        <w:rPr>
          <w:rFonts w:ascii="仿宋_GB2312" w:hAnsi="仿宋_GB2312" w:eastAsia="仿宋_GB2312" w:cs="仿宋_GB2312"/>
          <w:color w:val="000000"/>
          <w:kern w:val="0"/>
          <w:sz w:val="32"/>
          <w:szCs w:val="32"/>
        </w:rPr>
      </w:pPr>
    </w:p>
    <w:p>
      <w:pPr>
        <w:spacing w:line="600" w:lineRule="exac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各镇人民政府、街道办事处，滕州经济技术开发区管委会，市政府各部门，各企事业单位：</w:t>
      </w:r>
    </w:p>
    <w:p>
      <w:p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市政府2024年度重大行政决策事项目录和市政府常务会议2024年度学法计划，已经市委同意，现予</w:t>
      </w:r>
      <w:r>
        <w:rPr>
          <w:rFonts w:hint="eastAsia" w:ascii="仿宋_GB2312" w:hAnsi="仿宋_GB2312" w:eastAsia="仿宋_GB2312" w:cs="仿宋_GB2312"/>
          <w:sz w:val="32"/>
          <w:szCs w:val="32"/>
          <w:lang w:val="en-US" w:eastAsia="zh-CN"/>
        </w:rPr>
        <w:t>印发</w:t>
      </w:r>
      <w:r>
        <w:rPr>
          <w:rFonts w:hint="eastAsia" w:ascii="仿宋_GB2312" w:hAnsi="仿宋_GB2312" w:eastAsia="仿宋_GB2312" w:cs="仿宋_GB2312"/>
          <w:sz w:val="32"/>
          <w:szCs w:val="32"/>
          <w:lang w:eastAsia="zh-CN"/>
        </w:rPr>
        <w:t>。</w:t>
      </w:r>
    </w:p>
    <w:p>
      <w:pPr>
        <w:spacing w:line="600" w:lineRule="exact"/>
        <w:ind w:firstLine="632" w:firstLineChars="200"/>
        <w:rPr>
          <w:rFonts w:ascii="仿宋_GB2312" w:hAnsi="仿宋_GB2312" w:eastAsia="仿宋_GB2312" w:cs="仿宋_GB2312"/>
          <w:w w:val="99"/>
          <w:sz w:val="32"/>
          <w:szCs w:val="32"/>
        </w:rPr>
      </w:pPr>
    </w:p>
    <w:p>
      <w:pPr>
        <w:pStyle w:val="14"/>
      </w:pPr>
    </w:p>
    <w:p>
      <w:pPr>
        <w:spacing w:line="600" w:lineRule="exact"/>
        <w:ind w:firstLine="4800" w:firstLineChars="1500"/>
        <w:rPr>
          <w:rFonts w:ascii="仿宋_GB2312" w:hAnsi="仿宋_GB2312" w:eastAsia="仿宋_GB2312" w:cs="仿宋_GB2312"/>
          <w:sz w:val="32"/>
          <w:szCs w:val="32"/>
        </w:rPr>
      </w:pPr>
      <w:r>
        <w:rPr>
          <w:rFonts w:hint="eastAsia" w:ascii="仿宋_GB2312" w:hAnsi="仿宋_GB2312" w:eastAsia="仿宋_GB2312" w:cs="仿宋_GB2312"/>
          <w:sz w:val="32"/>
          <w:szCs w:val="32"/>
        </w:rPr>
        <w:t>滕州市人民政府办公室</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2024年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日</w:t>
      </w:r>
    </w:p>
    <w:p>
      <w:pPr>
        <w:spacing w:line="600" w:lineRule="exact"/>
        <w:rPr>
          <w:rFonts w:ascii="仿宋_GB2312" w:hAnsi="仿宋_GB2312" w:eastAsia="仿宋_GB2312" w:cs="仿宋_GB2312"/>
          <w:w w:val="99"/>
          <w:sz w:val="32"/>
          <w:szCs w:val="32"/>
        </w:rPr>
      </w:pP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5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滕州市政府2024年度重大行政决策事项目录</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仿宋_GB2312" w:hAnsi="仿宋_GB2312" w:eastAsia="仿宋_GB2312" w:cs="仿宋_GB2312"/>
          <w:sz w:val="32"/>
          <w:szCs w:val="32"/>
        </w:rPr>
      </w:pPr>
    </w:p>
    <w:p>
      <w:pPr>
        <w:pStyle w:val="14"/>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eastAsia="zh-CN"/>
        </w:rPr>
        <w:t>一、目录</w:t>
      </w:r>
      <w:r>
        <w:rPr>
          <w:rFonts w:hint="eastAsia" w:ascii="黑体" w:hAnsi="黑体" w:eastAsia="黑体" w:cs="黑体"/>
          <w:sz w:val="32"/>
          <w:szCs w:val="32"/>
          <w:lang w:val="en-US" w:eastAsia="zh-CN"/>
        </w:rPr>
        <w:t>清单</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1.关于规范全市电动汽车充电基础设施规划建设和运营管理的实施意见</w:t>
      </w:r>
      <w:r>
        <w:rPr>
          <w:rFonts w:hint="eastAsia" w:ascii="楷体_GB2312" w:hAnsi="楷体_GB2312" w:eastAsia="楷体_GB2312" w:cs="楷体_GB2312"/>
          <w:sz w:val="32"/>
          <w:szCs w:val="32"/>
        </w:rPr>
        <w:t>（承办单位：市发展和改革局）</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楷体_GB2312" w:hAnsi="楷体_GB2312" w:eastAsia="楷体_GB2312" w:cs="楷体_GB2312"/>
          <w:sz w:val="32"/>
          <w:szCs w:val="32"/>
        </w:rPr>
      </w:pPr>
      <w:r>
        <w:rPr>
          <w:rFonts w:hint="eastAsia" w:ascii="仿宋_GB2312" w:hAnsi="仿宋_GB2312" w:eastAsia="仿宋_GB2312" w:cs="仿宋_GB2312"/>
          <w:sz w:val="32"/>
          <w:szCs w:val="32"/>
        </w:rPr>
        <w:t>2.滕州市燃气专项规划(2022-2035年）局部修订</w:t>
      </w:r>
      <w:r>
        <w:rPr>
          <w:rFonts w:hint="eastAsia" w:ascii="楷体_GB2312" w:hAnsi="楷体_GB2312" w:eastAsia="楷体_GB2312" w:cs="楷体_GB2312"/>
          <w:sz w:val="32"/>
          <w:szCs w:val="32"/>
        </w:rPr>
        <w:t>（承办单位：市住房和城乡建设局）</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楷体_GB2312" w:hAnsi="楷体_GB2312" w:eastAsia="楷体_GB2312" w:cs="楷体_GB2312"/>
          <w:sz w:val="32"/>
          <w:szCs w:val="32"/>
        </w:rPr>
      </w:pPr>
      <w:r>
        <w:rPr>
          <w:rFonts w:hint="eastAsia" w:ascii="仿宋_GB2312" w:hAnsi="仿宋_GB2312" w:eastAsia="仿宋_GB2312" w:cs="仿宋_GB2312"/>
          <w:sz w:val="32"/>
          <w:szCs w:val="32"/>
        </w:rPr>
        <w:t>3.滕州市“十四五”卫生与健康规划</w:t>
      </w:r>
      <w:r>
        <w:rPr>
          <w:rFonts w:hint="eastAsia" w:ascii="楷体_GB2312" w:hAnsi="楷体_GB2312" w:eastAsia="楷体_GB2312" w:cs="楷体_GB2312"/>
          <w:sz w:val="32"/>
          <w:szCs w:val="32"/>
        </w:rPr>
        <w:t>（承办单位：市卫生健康局）</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4.滕州市“十四五”医疗卫生服务体系规划（2023-2025年）</w:t>
      </w:r>
      <w:r>
        <w:rPr>
          <w:rFonts w:hint="eastAsia" w:ascii="楷体_GB2312" w:hAnsi="楷体_GB2312" w:eastAsia="楷体_GB2312" w:cs="楷体_GB2312"/>
          <w:sz w:val="32"/>
          <w:szCs w:val="32"/>
        </w:rPr>
        <w:t>（承办单位：市卫生健康局）</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楷体_GB2312" w:hAnsi="楷体_GB2312" w:eastAsia="楷体_GB2312" w:cs="楷体_GB2312"/>
          <w:sz w:val="32"/>
          <w:szCs w:val="32"/>
        </w:rPr>
      </w:pPr>
      <w:r>
        <w:rPr>
          <w:rFonts w:hint="eastAsia" w:ascii="仿宋_GB2312" w:hAnsi="仿宋_GB2312" w:eastAsia="仿宋_GB2312" w:cs="仿宋_GB2312"/>
          <w:sz w:val="32"/>
          <w:szCs w:val="32"/>
        </w:rPr>
        <w:t>5.滕州市烈士陵园烈士纪念设施保护范围划定</w:t>
      </w:r>
      <w:r>
        <w:rPr>
          <w:rFonts w:hint="eastAsia" w:ascii="楷体_GB2312" w:hAnsi="楷体_GB2312" w:eastAsia="楷体_GB2312" w:cs="楷体_GB2312"/>
          <w:sz w:val="32"/>
          <w:szCs w:val="32"/>
        </w:rPr>
        <w:t>（承办单位：市退役军人事务局）</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二、工作要求</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各承办单位对列入决策事项目录的重大行政决策事项抓紧组织实施，尽快完成决策草案起草工作，确保重大行政决策事项及时出台。</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spacing w:val="-6"/>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列入决策事项目录的重大行政决策事项，要严格落实公众参与、专家论证、风险评估、合法性审查、集体讨论决定</w:t>
      </w:r>
      <w:r>
        <w:rPr>
          <w:rFonts w:hint="eastAsia" w:ascii="仿宋_GB2312" w:hAnsi="仿宋_GB2312" w:eastAsia="仿宋_GB2312" w:cs="仿宋_GB2312"/>
          <w:spacing w:val="-11"/>
          <w:sz w:val="32"/>
          <w:szCs w:val="32"/>
        </w:rPr>
        <w:t>等法定程序，未履行相关程序的，不得提请市政府常务会议审议。</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方正小标宋简体" w:hAnsi="方正小标宋简体" w:eastAsia="方正小标宋简体" w:cs="方正小标宋简体"/>
          <w:sz w:val="44"/>
          <w:szCs w:val="44"/>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决策事项目录实行动态管理，根据市政府年度工作实际开展情况，市司法局及时调整决策目录清单报市政府同意后予以公布。</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方正小标宋简体" w:hAnsi="方正小标宋简体" w:eastAsia="方正小标宋简体" w:cs="方正小标宋简体"/>
          <w:color w:val="000000"/>
          <w:sz w:val="44"/>
          <w:szCs w:val="44"/>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方正小标宋简体" w:hAnsi="方正小标宋简体" w:eastAsia="方正小标宋简体" w:cs="方正小标宋简体"/>
          <w:color w:val="000000"/>
          <w:sz w:val="44"/>
          <w:szCs w:val="44"/>
        </w:rPr>
      </w:pPr>
      <w:r>
        <w:rPr>
          <w:rFonts w:ascii="方正小标宋简体" w:hAnsi="方正小标宋简体" w:eastAsia="方正小标宋简体" w:cs="方正小标宋简体"/>
          <w:color w:val="000000"/>
          <w:sz w:val="44"/>
          <w:szCs w:val="44"/>
        </w:rPr>
        <w:t>市政府常务会议2024年度学法计划</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楷体_GB2312" w:cs="Times New Roman"/>
          <w:color w:val="000000"/>
          <w:kern w:val="0"/>
          <w:sz w:val="32"/>
          <w:szCs w:val="32"/>
        </w:rPr>
      </w:pP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Times New Roman" w:hAnsi="Times New Roman" w:cs="Times New Roman"/>
          <w:sz w:val="32"/>
          <w:szCs w:val="32"/>
        </w:rPr>
      </w:pPr>
      <w:r>
        <w:rPr>
          <w:rFonts w:ascii="Times New Roman" w:hAnsi="Times New Roman" w:eastAsia="黑体" w:cs="Times New Roman"/>
          <w:color w:val="000000"/>
          <w:kern w:val="0"/>
          <w:sz w:val="32"/>
          <w:szCs w:val="32"/>
        </w:rPr>
        <w:t>一、总体安排</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市政府常务会议2024年度学习法律法规采取会议学法和法治专题讲座两种方式进行。全年计划安排市政府常务会议学法4次，举办法治专题讲座2次。</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Times New Roman" w:hAnsi="Times New Roman" w:cs="Times New Roman"/>
          <w:sz w:val="32"/>
          <w:szCs w:val="32"/>
        </w:rPr>
      </w:pPr>
      <w:r>
        <w:rPr>
          <w:rFonts w:ascii="Times New Roman" w:hAnsi="Times New Roman" w:eastAsia="黑体" w:cs="Times New Roman"/>
          <w:color w:val="000000"/>
          <w:kern w:val="0"/>
          <w:sz w:val="32"/>
          <w:szCs w:val="32"/>
        </w:rPr>
        <w:t>二、学法内容</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楷体_GB2312" w:hAnsi="楷体_GB2312" w:eastAsia="楷体_GB2312" w:cs="楷体_GB2312"/>
          <w:sz w:val="32"/>
          <w:szCs w:val="32"/>
        </w:rPr>
      </w:pPr>
      <w:r>
        <w:rPr>
          <w:rFonts w:ascii="楷体_GB2312" w:hAnsi="楷体_GB2312" w:eastAsia="楷体_GB2312" w:cs="楷体_GB2312"/>
          <w:sz w:val="32"/>
          <w:szCs w:val="32"/>
        </w:rPr>
        <w:t>（一）第一季度（责任单位：市司法局）</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1.《中华人民共和国行政复议法》</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2.《中华人民共和国立法法》</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3.《山东省行政规范性文件制定和监督管理办法》</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Times New Roman" w:hAnsi="Times New Roman" w:cs="Times New Roman"/>
          <w:sz w:val="32"/>
          <w:szCs w:val="32"/>
        </w:rPr>
      </w:pPr>
      <w:r>
        <w:rPr>
          <w:rFonts w:ascii="Times New Roman" w:hAnsi="Times New Roman" w:eastAsia="楷体_GB2312" w:cs="Times New Roman"/>
          <w:color w:val="000000"/>
          <w:kern w:val="0"/>
          <w:sz w:val="32"/>
          <w:szCs w:val="32"/>
        </w:rPr>
        <w:t>（二）第二季度（责任单位：市市场</w:t>
      </w:r>
      <w:r>
        <w:rPr>
          <w:rFonts w:hint="eastAsia" w:ascii="Times New Roman" w:hAnsi="Times New Roman" w:eastAsia="楷体_GB2312" w:cs="Times New Roman"/>
          <w:color w:val="000000"/>
          <w:kern w:val="0"/>
          <w:sz w:val="32"/>
          <w:szCs w:val="32"/>
        </w:rPr>
        <w:t>监督管理</w:t>
      </w:r>
      <w:r>
        <w:rPr>
          <w:rFonts w:ascii="Times New Roman" w:hAnsi="Times New Roman" w:eastAsia="楷体_GB2312" w:cs="Times New Roman"/>
          <w:color w:val="000000"/>
          <w:kern w:val="0"/>
          <w:sz w:val="32"/>
          <w:szCs w:val="32"/>
        </w:rPr>
        <w:t>局、市发展</w:t>
      </w:r>
      <w:r>
        <w:rPr>
          <w:rFonts w:hint="eastAsia" w:ascii="Times New Roman" w:hAnsi="Times New Roman" w:eastAsia="楷体_GB2312" w:cs="Times New Roman"/>
          <w:color w:val="000000"/>
          <w:kern w:val="0"/>
          <w:sz w:val="32"/>
          <w:szCs w:val="32"/>
        </w:rPr>
        <w:t>和</w:t>
      </w:r>
      <w:r>
        <w:rPr>
          <w:rFonts w:ascii="Times New Roman" w:hAnsi="Times New Roman" w:eastAsia="楷体_GB2312" w:cs="Times New Roman"/>
          <w:color w:val="000000"/>
          <w:kern w:val="0"/>
          <w:sz w:val="32"/>
          <w:szCs w:val="32"/>
        </w:rPr>
        <w:t>改革</w:t>
      </w:r>
      <w:r>
        <w:rPr>
          <w:rFonts w:hint="eastAsia" w:ascii="Times New Roman" w:hAnsi="Times New Roman" w:eastAsia="楷体_GB2312" w:cs="Times New Roman"/>
          <w:color w:val="000000"/>
          <w:kern w:val="0"/>
          <w:sz w:val="32"/>
          <w:szCs w:val="32"/>
        </w:rPr>
        <w:t>局</w:t>
      </w:r>
      <w:r>
        <w:rPr>
          <w:rFonts w:ascii="Times New Roman" w:hAnsi="Times New Roman" w:eastAsia="楷体_GB2312" w:cs="Times New Roman"/>
          <w:color w:val="000000"/>
          <w:kern w:val="0"/>
          <w:sz w:val="32"/>
          <w:szCs w:val="32"/>
        </w:rPr>
        <w:t>）</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1.《中华人民共和国反垄断法》</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2.《中华人民共和国药品管理法》</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3.《中华人民共和国粮食安全保障法》</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Times New Roman" w:hAnsi="Times New Roman" w:eastAsia="楷体_GB2312" w:cs="Times New Roman"/>
          <w:color w:val="000000"/>
          <w:kern w:val="0"/>
          <w:sz w:val="32"/>
          <w:szCs w:val="32"/>
        </w:rPr>
      </w:pPr>
      <w:r>
        <w:rPr>
          <w:rFonts w:ascii="Times New Roman" w:hAnsi="Times New Roman" w:eastAsia="楷体_GB2312" w:cs="Times New Roman"/>
          <w:color w:val="000000"/>
          <w:kern w:val="0"/>
          <w:sz w:val="32"/>
          <w:szCs w:val="32"/>
        </w:rPr>
        <w:t>（三）第三季度（责任单位：市城乡水务局、市</w:t>
      </w:r>
      <w:r>
        <w:rPr>
          <w:rFonts w:hint="eastAsia" w:ascii="Times New Roman" w:hAnsi="Times New Roman" w:eastAsia="楷体_GB2312" w:cs="Times New Roman"/>
          <w:color w:val="000000"/>
          <w:kern w:val="0"/>
          <w:sz w:val="32"/>
          <w:szCs w:val="32"/>
        </w:rPr>
        <w:t>行政</w:t>
      </w:r>
      <w:r>
        <w:rPr>
          <w:rFonts w:ascii="Times New Roman" w:hAnsi="Times New Roman" w:eastAsia="楷体_GB2312" w:cs="Times New Roman"/>
          <w:color w:val="000000"/>
          <w:kern w:val="0"/>
          <w:sz w:val="32"/>
          <w:szCs w:val="32"/>
        </w:rPr>
        <w:t>审批服务局）</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1.《山东省水资源条例》</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2.《山东省水土保持条例》</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3.《中华人民共和国行政许可法》</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Times New Roman" w:hAnsi="Times New Roman" w:cs="Times New Roman"/>
          <w:sz w:val="32"/>
          <w:szCs w:val="32"/>
        </w:rPr>
      </w:pPr>
      <w:r>
        <w:rPr>
          <w:rFonts w:ascii="Times New Roman" w:hAnsi="Times New Roman" w:eastAsia="楷体_GB2312" w:cs="Times New Roman"/>
          <w:color w:val="000000"/>
          <w:kern w:val="0"/>
          <w:sz w:val="32"/>
          <w:szCs w:val="32"/>
        </w:rPr>
        <w:t>（四）第四季度（责任单位：市应急</w:t>
      </w:r>
      <w:r>
        <w:rPr>
          <w:rFonts w:hint="eastAsia" w:ascii="Times New Roman" w:hAnsi="Times New Roman" w:eastAsia="楷体_GB2312" w:cs="Times New Roman"/>
          <w:color w:val="000000"/>
          <w:kern w:val="0"/>
          <w:sz w:val="32"/>
          <w:szCs w:val="32"/>
        </w:rPr>
        <w:t>管理</w:t>
      </w:r>
      <w:r>
        <w:rPr>
          <w:rFonts w:ascii="Times New Roman" w:hAnsi="Times New Roman" w:eastAsia="楷体_GB2312" w:cs="Times New Roman"/>
          <w:color w:val="000000"/>
          <w:kern w:val="0"/>
          <w:sz w:val="32"/>
          <w:szCs w:val="32"/>
        </w:rPr>
        <w:t>局、市消防救援</w:t>
      </w:r>
      <w:r>
        <w:rPr>
          <w:rFonts w:hint="eastAsia" w:ascii="Times New Roman" w:hAnsi="Times New Roman" w:eastAsia="楷体_GB2312" w:cs="Times New Roman"/>
          <w:color w:val="000000"/>
          <w:kern w:val="0"/>
          <w:sz w:val="32"/>
          <w:szCs w:val="32"/>
        </w:rPr>
        <w:t>大</w:t>
      </w:r>
      <w:r>
        <w:rPr>
          <w:rFonts w:ascii="Times New Roman" w:hAnsi="Times New Roman" w:eastAsia="楷体_GB2312" w:cs="Times New Roman"/>
          <w:color w:val="000000"/>
          <w:kern w:val="0"/>
          <w:sz w:val="32"/>
          <w:szCs w:val="32"/>
        </w:rPr>
        <w:t>队）</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1.《中华人民共和国安全生产法》</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2.《山东省安全生产条例》</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3.《中华人民共和国消防法》</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Times New Roman" w:hAnsi="Times New Roman" w:cs="Times New Roman"/>
          <w:sz w:val="32"/>
          <w:szCs w:val="32"/>
        </w:rPr>
      </w:pPr>
      <w:r>
        <w:rPr>
          <w:rFonts w:ascii="Times New Roman" w:hAnsi="Times New Roman" w:eastAsia="黑体" w:cs="Times New Roman"/>
          <w:color w:val="000000"/>
          <w:kern w:val="0"/>
          <w:sz w:val="32"/>
          <w:szCs w:val="32"/>
        </w:rPr>
        <w:t>三、专题学法</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根据2024年度全市法治建设工作需要，择机邀请专家学者进行法治专题讲座，上半年、下半年各举办一次。</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Times New Roman" w:hAnsi="Times New Roman" w:cs="Times New Roman"/>
          <w:sz w:val="32"/>
          <w:szCs w:val="32"/>
        </w:rPr>
      </w:pPr>
      <w:r>
        <w:rPr>
          <w:rFonts w:ascii="Times New Roman" w:hAnsi="Times New Roman" w:eastAsia="黑体" w:cs="Times New Roman"/>
          <w:color w:val="000000"/>
          <w:kern w:val="0"/>
          <w:sz w:val="32"/>
          <w:szCs w:val="32"/>
        </w:rPr>
        <w:t>四、相关要求</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一）市政府常务会议学法由市政府办公室、市司法局负责组织实施，各责任单位密切配合。法治专题讲座可在学法内容中酌情安排，也可另行选择学法专题，由相关责任单位提请市政府同意后以适当方式组织实施。市政府领导可根据工作需要调整、新增学法内容。</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二）各责任单位要高度重视常务会议学法工作，根据本计划提前确定主讲人员，对相关法律法规进行深入学习研究，准确理解法律要义，认真准备学法内容，保证学法质量。各系统各领域的其他全市性学法活动由相关部门根据需要，以适当方式组织实施。</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（三）</w:t>
      </w:r>
      <w:r>
        <w:rPr>
          <w:rFonts w:hint="eastAsia" w:ascii="仿宋_GB2312" w:hAnsi="仿宋_GB2312" w:eastAsia="仿宋_GB2312" w:cs="仿宋_GB2312"/>
          <w:sz w:val="32"/>
          <w:szCs w:val="32"/>
        </w:rPr>
        <w:t>各镇</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街</w:t>
      </w:r>
      <w:r>
        <w:rPr>
          <w:rFonts w:ascii="仿宋_GB2312" w:hAnsi="仿宋_GB2312" w:eastAsia="仿宋_GB2312" w:cs="仿宋_GB2312"/>
          <w:sz w:val="32"/>
          <w:szCs w:val="32"/>
        </w:rPr>
        <w:t>）、市政府各部门单位要参照本计划，结合本系统新法新规和工作实际详细制定学习与培训计划，认真抓好学法活动的组织和落实，确保学习培训与本单位重点工作紧密结合，通过学习培训提升法治思维和依法行政能力。</w:t>
      </w:r>
    </w:p>
    <w:p>
      <w:pPr>
        <w:pStyle w:val="2"/>
      </w:pPr>
    </w:p>
    <w:p/>
    <w:p>
      <w:pPr>
        <w:widowControl/>
        <w:spacing w:line="200" w:lineRule="exact"/>
        <w:rPr>
          <w:rFonts w:ascii="黑体" w:eastAsia="黑体" w:cs="Times New Roman"/>
          <w:color w:val="000000"/>
          <w:sz w:val="28"/>
          <w:szCs w:val="28"/>
        </w:rPr>
      </w:pPr>
      <w:r>
        <w:pict>
          <v:line id="_x0000_s2068" o:spid="_x0000_s2068" o:spt="20" style="position:absolute;left:0pt;margin-left:0pt;margin-top:3.2pt;height:2pt;width:431.85pt;z-index:251659264;mso-width-relative:page;mso-height-relative:page;" filled="f" stroked="t" coordsize="21600,21600">
            <v:path arrowok="t"/>
            <v:fill on="f" focussize="0,0"/>
            <v:stroke weight="1.5pt" color="#000000"/>
            <v:imagedata o:title=""/>
            <o:lock v:ext="edit" aspectratio="f"/>
          </v:line>
        </w:pict>
      </w:r>
    </w:p>
    <w:p>
      <w:pPr>
        <w:widowControl/>
        <w:spacing w:line="340" w:lineRule="exact"/>
        <w:rPr>
          <w:rFonts w:ascii="仿宋_GB2312" w:eastAsia="仿宋_GB2312" w:cs="Times New Roman"/>
          <w:color w:val="000000"/>
          <w:sz w:val="28"/>
          <w:szCs w:val="28"/>
        </w:rPr>
      </w:pPr>
      <w:r>
        <w:rPr>
          <w:rFonts w:hint="eastAsia" w:ascii="黑体" w:eastAsia="黑体" w:cs="黑体"/>
          <w:color w:val="000000"/>
          <w:sz w:val="28"/>
          <w:szCs w:val="28"/>
        </w:rPr>
        <w:t>抄送：</w:t>
      </w:r>
      <w:r>
        <w:rPr>
          <w:rFonts w:hint="eastAsia" w:ascii="仿宋_GB2312" w:eastAsia="仿宋_GB2312" w:cs="仿宋_GB2312"/>
          <w:color w:val="000000"/>
          <w:sz w:val="28"/>
          <w:szCs w:val="28"/>
        </w:rPr>
        <w:t>市委办公室，市人大常委会办公室，市政协办公室，市纪委办公室，市法院，市检察院，市人武部。</w:t>
      </w:r>
    </w:p>
    <w:p>
      <w:pPr>
        <w:widowControl/>
        <w:spacing w:line="240" w:lineRule="exact"/>
        <w:ind w:right="29" w:rightChars="14" w:firstLine="560"/>
        <w:rPr>
          <w:rFonts w:ascii="仿宋_GB2312" w:eastAsia="仿宋_GB2312" w:cs="Times New Roman"/>
          <w:color w:val="000000"/>
          <w:sz w:val="28"/>
          <w:szCs w:val="28"/>
        </w:rPr>
      </w:pPr>
      <w:r>
        <w:pict>
          <v:line id="_x0000_s2069" o:spid="_x0000_s2069" o:spt="20" style="position:absolute;left:0pt;flip:y;margin-left:0pt;margin-top:5.25pt;height:0.75pt;width:432.65pt;z-index:251660288;mso-width-relative:page;mso-height-relative:page;" filled="f" stroked="t" coordsize="21600,21600">
            <v:path arrowok="t"/>
            <v:fill on="f" focussize="0,0"/>
            <v:stroke color="#000000"/>
            <v:imagedata o:title=""/>
            <o:lock v:ext="edit" aspectratio="f"/>
          </v:line>
        </w:pict>
      </w:r>
    </w:p>
    <w:p>
      <w:pPr>
        <w:widowControl/>
        <w:spacing w:line="340" w:lineRule="exact"/>
        <w:rPr>
          <w:rFonts w:ascii="仿宋_GB2312" w:hAnsi="仿宋_GB2312" w:eastAsia="仿宋_GB2312" w:cs="仿宋_GB2312"/>
          <w:sz w:val="32"/>
          <w:szCs w:val="32"/>
        </w:rPr>
      </w:pPr>
      <w:r>
        <w:pict>
          <v:line id="_x0000_s2070" o:spid="_x0000_s2070" o:spt="20" style="position:absolute;left:0pt;flip:y;margin-left:0.7pt;margin-top:21.75pt;height:1.05pt;width:431.85pt;z-index:251661312;mso-width-relative:page;mso-height-relative:page;" filled="f" stroked="t" coordsize="21600,21600">
            <v:path arrowok="t"/>
            <v:fill on="f" focussize="0,0"/>
            <v:stroke weight="1.5pt" color="#000000"/>
            <v:imagedata o:title=""/>
            <o:lock v:ext="edit" aspectratio="f"/>
          </v:line>
        </w:pict>
      </w:r>
      <w:r>
        <w:rPr>
          <w:rFonts w:hint="eastAsia" w:ascii="仿宋_GB2312" w:eastAsia="仿宋_GB2312" w:cs="仿宋_GB2312"/>
          <w:color w:val="000000"/>
          <w:sz w:val="28"/>
          <w:szCs w:val="28"/>
        </w:rPr>
        <w:t>滕州市人民政府办公室</w:t>
      </w:r>
      <w:r>
        <w:rPr>
          <w:rFonts w:ascii="仿宋_GB2312" w:eastAsia="仿宋_GB2312" w:cs="仿宋_GB2312"/>
          <w:color w:val="000000"/>
          <w:sz w:val="28"/>
          <w:szCs w:val="28"/>
        </w:rPr>
        <w:t xml:space="preserve">                      202</w:t>
      </w:r>
      <w:r>
        <w:rPr>
          <w:rFonts w:hint="eastAsia" w:ascii="仿宋_GB2312" w:eastAsia="仿宋_GB2312" w:cs="仿宋_GB2312"/>
          <w:color w:val="000000"/>
          <w:sz w:val="28"/>
          <w:szCs w:val="28"/>
          <w:lang w:val="en-US" w:eastAsia="zh-CN"/>
        </w:rPr>
        <w:t>4</w:t>
      </w:r>
      <w:r>
        <w:rPr>
          <w:rFonts w:hint="eastAsia" w:ascii="仿宋_GB2312" w:eastAsia="仿宋_GB2312" w:cs="仿宋_GB2312"/>
          <w:color w:val="000000"/>
          <w:sz w:val="28"/>
          <w:szCs w:val="28"/>
        </w:rPr>
        <w:t>年</w:t>
      </w:r>
      <w:r>
        <w:rPr>
          <w:rFonts w:hint="eastAsia" w:ascii="仿宋_GB2312" w:eastAsia="仿宋_GB2312" w:cs="仿宋_GB2312"/>
          <w:color w:val="000000"/>
          <w:sz w:val="28"/>
          <w:szCs w:val="28"/>
          <w:lang w:val="en-US" w:eastAsia="zh-CN"/>
        </w:rPr>
        <w:t>5</w:t>
      </w:r>
      <w:r>
        <w:rPr>
          <w:rFonts w:hint="eastAsia" w:ascii="仿宋_GB2312" w:eastAsia="仿宋_GB2312" w:cs="仿宋_GB2312"/>
          <w:color w:val="000000"/>
          <w:sz w:val="28"/>
          <w:szCs w:val="28"/>
        </w:rPr>
        <w:t>月</w:t>
      </w:r>
      <w:r>
        <w:rPr>
          <w:rFonts w:hint="eastAsia" w:ascii="仿宋_GB2312" w:eastAsia="仿宋_GB2312" w:cs="仿宋_GB2312"/>
          <w:color w:val="000000"/>
          <w:sz w:val="28"/>
          <w:szCs w:val="28"/>
          <w:lang w:val="en-US" w:eastAsia="zh-CN"/>
        </w:rPr>
        <w:t>13</w:t>
      </w:r>
      <w:r>
        <w:rPr>
          <w:rFonts w:hint="eastAsia" w:ascii="仿宋_GB2312" w:eastAsia="仿宋_GB2312" w:cs="仿宋_GB2312"/>
          <w:color w:val="000000"/>
          <w:sz w:val="28"/>
          <w:szCs w:val="28"/>
        </w:rPr>
        <w:t>日印</w:t>
      </w:r>
      <w:r>
        <w:rPr>
          <w:rFonts w:hint="eastAsia" w:ascii="仿宋_GB2312" w:eastAsia="仿宋_GB2312" w:cs="仿宋_GB2312"/>
          <w:color w:val="000000"/>
          <w:sz w:val="28"/>
          <w:szCs w:val="28"/>
          <w:lang w:eastAsia="zh-CN"/>
        </w:rPr>
        <w:t>发</w:t>
      </w:r>
    </w:p>
    <w:sectPr>
      <w:footerReference r:id="rId3" w:type="default"/>
      <w:pgSz w:w="11906" w:h="16838"/>
      <w:pgMar w:top="1701" w:right="1587" w:bottom="1701" w:left="1587" w:header="851" w:footer="130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文星仿宋">
    <w:altName w:val="宋体"/>
    <w:panose1 w:val="00000000000000000000"/>
    <w:charset w:val="86"/>
    <w:family w:val="auto"/>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asciiTheme="minorEastAsia" w:hAnsiTheme="minorEastAsia" w:eastAsiaTheme="minorEastAsia" w:cstheme="minorEastAsia"/>
        <w:sz w:val="24"/>
        <w:szCs w:val="24"/>
      </w:rPr>
    </w:pPr>
    <w:r>
      <w:rPr>
        <w:sz w:val="24"/>
      </w:rPr>
      <w:pict>
        <v:shape id="_x0000_s3073" o:spid="_x0000_s3073"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pPr>
                  <w:pStyle w:val="7"/>
                  <w:jc w:val="center"/>
                  <w:rPr>
                    <w:sz w:val="24"/>
                    <w:szCs w:val="24"/>
                  </w:rPr>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asciiTheme="minorEastAsia" w:hAnsiTheme="minorEastAsia" w:eastAsiaTheme="minorEastAsia" w:cstheme="minorEastAsia"/>
                    <w:sz w:val="24"/>
                    <w:szCs w:val="24"/>
                    <w:lang w:val="zh-CN"/>
                  </w:rPr>
                  <w:t>-</w:t>
                </w:r>
                <w:r>
                  <w:rPr>
                    <w:rFonts w:asciiTheme="minorEastAsia" w:hAnsiTheme="minorEastAsia" w:eastAsiaTheme="minorEastAsia" w:cstheme="minorEastAsia"/>
                    <w:sz w:val="24"/>
                    <w:szCs w:val="24"/>
                  </w:rPr>
                  <w:t xml:space="preserve"> 6 -</w:t>
                </w:r>
                <w:r>
                  <w:rPr>
                    <w:rFonts w:hint="eastAsia" w:asciiTheme="minorEastAsia" w:hAnsiTheme="minorEastAsia" w:eastAsiaTheme="minorEastAsia" w:cstheme="minorEastAsia"/>
                    <w:sz w:val="24"/>
                    <w:szCs w:val="24"/>
                    <w:lang w:val="zh-CN"/>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jBhMTYwZmJmNjQ5OWVkODExNjVlNmFjN2I5MDA0MTkifQ=="/>
    <w:docVar w:name="KSO_WPS_MARK_KEY" w:val="fb39acb3-62e3-482f-8a31-14b92b678e30"/>
  </w:docVars>
  <w:rsids>
    <w:rsidRoot w:val="006D7468"/>
    <w:rsid w:val="00013182"/>
    <w:rsid w:val="00034F0E"/>
    <w:rsid w:val="000516DE"/>
    <w:rsid w:val="00066E74"/>
    <w:rsid w:val="00082F36"/>
    <w:rsid w:val="00087804"/>
    <w:rsid w:val="00093B64"/>
    <w:rsid w:val="000F60A7"/>
    <w:rsid w:val="0011049C"/>
    <w:rsid w:val="00110712"/>
    <w:rsid w:val="00150180"/>
    <w:rsid w:val="0016419D"/>
    <w:rsid w:val="00182DB7"/>
    <w:rsid w:val="00191DCD"/>
    <w:rsid w:val="00196887"/>
    <w:rsid w:val="001A1684"/>
    <w:rsid w:val="001B073A"/>
    <w:rsid w:val="001B707A"/>
    <w:rsid w:val="001C0F79"/>
    <w:rsid w:val="001D29A8"/>
    <w:rsid w:val="001E5D2E"/>
    <w:rsid w:val="00206B89"/>
    <w:rsid w:val="00212124"/>
    <w:rsid w:val="00232B6B"/>
    <w:rsid w:val="00256B3E"/>
    <w:rsid w:val="00264F35"/>
    <w:rsid w:val="00290278"/>
    <w:rsid w:val="002A6F4D"/>
    <w:rsid w:val="002C16DF"/>
    <w:rsid w:val="002C496E"/>
    <w:rsid w:val="002D7D83"/>
    <w:rsid w:val="002F6D5A"/>
    <w:rsid w:val="003018BD"/>
    <w:rsid w:val="0030490A"/>
    <w:rsid w:val="00304A86"/>
    <w:rsid w:val="00325B8D"/>
    <w:rsid w:val="00373ACB"/>
    <w:rsid w:val="00380905"/>
    <w:rsid w:val="00381D04"/>
    <w:rsid w:val="0039516F"/>
    <w:rsid w:val="003C598E"/>
    <w:rsid w:val="003E7B97"/>
    <w:rsid w:val="0040185C"/>
    <w:rsid w:val="00432709"/>
    <w:rsid w:val="004836A7"/>
    <w:rsid w:val="00484495"/>
    <w:rsid w:val="004B592B"/>
    <w:rsid w:val="004C5288"/>
    <w:rsid w:val="004D4A9B"/>
    <w:rsid w:val="004D7F0A"/>
    <w:rsid w:val="004F1194"/>
    <w:rsid w:val="004F5807"/>
    <w:rsid w:val="005030D0"/>
    <w:rsid w:val="00525E92"/>
    <w:rsid w:val="0053130F"/>
    <w:rsid w:val="00535662"/>
    <w:rsid w:val="005612F2"/>
    <w:rsid w:val="00572D63"/>
    <w:rsid w:val="00585F6E"/>
    <w:rsid w:val="00591891"/>
    <w:rsid w:val="005A30A4"/>
    <w:rsid w:val="0060165F"/>
    <w:rsid w:val="00654C46"/>
    <w:rsid w:val="00677E4F"/>
    <w:rsid w:val="0068161D"/>
    <w:rsid w:val="00684B9F"/>
    <w:rsid w:val="00687FFC"/>
    <w:rsid w:val="006B1A39"/>
    <w:rsid w:val="006B3F1B"/>
    <w:rsid w:val="006B43FE"/>
    <w:rsid w:val="006C264E"/>
    <w:rsid w:val="006D7468"/>
    <w:rsid w:val="006E4BF7"/>
    <w:rsid w:val="0071356D"/>
    <w:rsid w:val="00722774"/>
    <w:rsid w:val="00730511"/>
    <w:rsid w:val="00742D44"/>
    <w:rsid w:val="00792A3D"/>
    <w:rsid w:val="0079498C"/>
    <w:rsid w:val="007D5C06"/>
    <w:rsid w:val="007E736F"/>
    <w:rsid w:val="007F6182"/>
    <w:rsid w:val="00803610"/>
    <w:rsid w:val="00825F0A"/>
    <w:rsid w:val="0083275E"/>
    <w:rsid w:val="008362BF"/>
    <w:rsid w:val="00837578"/>
    <w:rsid w:val="00841BDB"/>
    <w:rsid w:val="00851E21"/>
    <w:rsid w:val="00860AD7"/>
    <w:rsid w:val="00885153"/>
    <w:rsid w:val="00896F5E"/>
    <w:rsid w:val="008A1266"/>
    <w:rsid w:val="008B7645"/>
    <w:rsid w:val="008C1999"/>
    <w:rsid w:val="008E5D77"/>
    <w:rsid w:val="008F585C"/>
    <w:rsid w:val="00924770"/>
    <w:rsid w:val="00924B72"/>
    <w:rsid w:val="00936AAA"/>
    <w:rsid w:val="00953FBC"/>
    <w:rsid w:val="009922EE"/>
    <w:rsid w:val="0099237E"/>
    <w:rsid w:val="009B0E17"/>
    <w:rsid w:val="009C47CE"/>
    <w:rsid w:val="009C7B08"/>
    <w:rsid w:val="009F1359"/>
    <w:rsid w:val="009F7427"/>
    <w:rsid w:val="00A00B91"/>
    <w:rsid w:val="00A055E5"/>
    <w:rsid w:val="00A20D5B"/>
    <w:rsid w:val="00A2784E"/>
    <w:rsid w:val="00A300FF"/>
    <w:rsid w:val="00A40241"/>
    <w:rsid w:val="00A43BF2"/>
    <w:rsid w:val="00A60849"/>
    <w:rsid w:val="00A71321"/>
    <w:rsid w:val="00AA12C3"/>
    <w:rsid w:val="00AA5DD7"/>
    <w:rsid w:val="00AC6D8C"/>
    <w:rsid w:val="00AD3CAB"/>
    <w:rsid w:val="00B35851"/>
    <w:rsid w:val="00B51499"/>
    <w:rsid w:val="00B93304"/>
    <w:rsid w:val="00BC2F6A"/>
    <w:rsid w:val="00BE2D0A"/>
    <w:rsid w:val="00BE5022"/>
    <w:rsid w:val="00BF53A2"/>
    <w:rsid w:val="00C154A5"/>
    <w:rsid w:val="00C219CB"/>
    <w:rsid w:val="00C32C8C"/>
    <w:rsid w:val="00C51844"/>
    <w:rsid w:val="00C8740C"/>
    <w:rsid w:val="00CC3128"/>
    <w:rsid w:val="00D15993"/>
    <w:rsid w:val="00D268D2"/>
    <w:rsid w:val="00D44CF9"/>
    <w:rsid w:val="00D550DC"/>
    <w:rsid w:val="00D61B63"/>
    <w:rsid w:val="00D83879"/>
    <w:rsid w:val="00D97B8C"/>
    <w:rsid w:val="00DB12A3"/>
    <w:rsid w:val="00DC2BFA"/>
    <w:rsid w:val="00DD7DEB"/>
    <w:rsid w:val="00E03772"/>
    <w:rsid w:val="00E078F1"/>
    <w:rsid w:val="00E13C50"/>
    <w:rsid w:val="00E1585C"/>
    <w:rsid w:val="00E342E2"/>
    <w:rsid w:val="00E41340"/>
    <w:rsid w:val="00E4505C"/>
    <w:rsid w:val="00E65F92"/>
    <w:rsid w:val="00E7316C"/>
    <w:rsid w:val="00E83FE4"/>
    <w:rsid w:val="00EC5136"/>
    <w:rsid w:val="00F01C5A"/>
    <w:rsid w:val="00F36D6B"/>
    <w:rsid w:val="00F604C9"/>
    <w:rsid w:val="00F710A9"/>
    <w:rsid w:val="00FC5427"/>
    <w:rsid w:val="00FD1F2F"/>
    <w:rsid w:val="00FE2F3D"/>
    <w:rsid w:val="01431A4A"/>
    <w:rsid w:val="015E2A6C"/>
    <w:rsid w:val="024535A0"/>
    <w:rsid w:val="03A81E25"/>
    <w:rsid w:val="054144F3"/>
    <w:rsid w:val="064A5629"/>
    <w:rsid w:val="06A0349B"/>
    <w:rsid w:val="06B75E22"/>
    <w:rsid w:val="06D35191"/>
    <w:rsid w:val="06D73361"/>
    <w:rsid w:val="07175BDC"/>
    <w:rsid w:val="08145EEF"/>
    <w:rsid w:val="082A3066"/>
    <w:rsid w:val="0A612047"/>
    <w:rsid w:val="0ABE2142"/>
    <w:rsid w:val="0AF02C43"/>
    <w:rsid w:val="0BF46924"/>
    <w:rsid w:val="0C4C20FB"/>
    <w:rsid w:val="0C60035E"/>
    <w:rsid w:val="0D0F0D92"/>
    <w:rsid w:val="0D7F34AA"/>
    <w:rsid w:val="0DEB1B3B"/>
    <w:rsid w:val="0DF76C59"/>
    <w:rsid w:val="0F5733DB"/>
    <w:rsid w:val="0FB3423F"/>
    <w:rsid w:val="107F4121"/>
    <w:rsid w:val="116C28F7"/>
    <w:rsid w:val="11D43BD5"/>
    <w:rsid w:val="12E82452"/>
    <w:rsid w:val="13127DB1"/>
    <w:rsid w:val="13AE369B"/>
    <w:rsid w:val="13E14BDF"/>
    <w:rsid w:val="14D267D8"/>
    <w:rsid w:val="15155054"/>
    <w:rsid w:val="152A4FA3"/>
    <w:rsid w:val="1589527F"/>
    <w:rsid w:val="15DD3DC4"/>
    <w:rsid w:val="16201F02"/>
    <w:rsid w:val="17BB2BAD"/>
    <w:rsid w:val="1A073B05"/>
    <w:rsid w:val="1A402B73"/>
    <w:rsid w:val="1A8E7D82"/>
    <w:rsid w:val="1AC612CA"/>
    <w:rsid w:val="1C307F2A"/>
    <w:rsid w:val="1CB810E7"/>
    <w:rsid w:val="1CF77E61"/>
    <w:rsid w:val="1CFA34AD"/>
    <w:rsid w:val="1D383FD6"/>
    <w:rsid w:val="1D726BA4"/>
    <w:rsid w:val="1DB775F0"/>
    <w:rsid w:val="1DBB05FE"/>
    <w:rsid w:val="1E2C7696"/>
    <w:rsid w:val="1EDD4E34"/>
    <w:rsid w:val="1FEF7E64"/>
    <w:rsid w:val="22857CBD"/>
    <w:rsid w:val="22AD2D70"/>
    <w:rsid w:val="22EE7610"/>
    <w:rsid w:val="232B3D40"/>
    <w:rsid w:val="238D507B"/>
    <w:rsid w:val="25207829"/>
    <w:rsid w:val="255F65A3"/>
    <w:rsid w:val="25F85A67"/>
    <w:rsid w:val="26432D8E"/>
    <w:rsid w:val="27392E24"/>
    <w:rsid w:val="27585999"/>
    <w:rsid w:val="28212236"/>
    <w:rsid w:val="28441A80"/>
    <w:rsid w:val="292A511A"/>
    <w:rsid w:val="295D54F0"/>
    <w:rsid w:val="29986528"/>
    <w:rsid w:val="29A14D50"/>
    <w:rsid w:val="2A2C6C70"/>
    <w:rsid w:val="2A554419"/>
    <w:rsid w:val="2B401E83"/>
    <w:rsid w:val="2B4F70BA"/>
    <w:rsid w:val="2CDA6E57"/>
    <w:rsid w:val="2D142369"/>
    <w:rsid w:val="2D564341"/>
    <w:rsid w:val="2DB43204"/>
    <w:rsid w:val="2E165C6D"/>
    <w:rsid w:val="2E506935"/>
    <w:rsid w:val="2E530C6F"/>
    <w:rsid w:val="2E536EC1"/>
    <w:rsid w:val="2F1F041E"/>
    <w:rsid w:val="2FDA2D8C"/>
    <w:rsid w:val="307C26FF"/>
    <w:rsid w:val="30853CAF"/>
    <w:rsid w:val="31806CB5"/>
    <w:rsid w:val="31F43905"/>
    <w:rsid w:val="32674CE9"/>
    <w:rsid w:val="330E785B"/>
    <w:rsid w:val="33114C55"/>
    <w:rsid w:val="3353526D"/>
    <w:rsid w:val="33D72BD0"/>
    <w:rsid w:val="34E13343"/>
    <w:rsid w:val="357F059C"/>
    <w:rsid w:val="370A5864"/>
    <w:rsid w:val="37461802"/>
    <w:rsid w:val="37ED3EE3"/>
    <w:rsid w:val="387E4ADA"/>
    <w:rsid w:val="38FE5C7B"/>
    <w:rsid w:val="3964656E"/>
    <w:rsid w:val="397275DF"/>
    <w:rsid w:val="3B785AAE"/>
    <w:rsid w:val="3B945973"/>
    <w:rsid w:val="3BB56AC5"/>
    <w:rsid w:val="3C891335"/>
    <w:rsid w:val="3CA628B2"/>
    <w:rsid w:val="3CC21C50"/>
    <w:rsid w:val="3D197528"/>
    <w:rsid w:val="3D850DBB"/>
    <w:rsid w:val="3D8D4155"/>
    <w:rsid w:val="3E893A42"/>
    <w:rsid w:val="3F6727CC"/>
    <w:rsid w:val="3FB8491E"/>
    <w:rsid w:val="3FBA0B4E"/>
    <w:rsid w:val="3FE23C01"/>
    <w:rsid w:val="403B6A21"/>
    <w:rsid w:val="4107769A"/>
    <w:rsid w:val="41AC0276"/>
    <w:rsid w:val="41F83BB0"/>
    <w:rsid w:val="429C43BF"/>
    <w:rsid w:val="43D730F6"/>
    <w:rsid w:val="45FF375F"/>
    <w:rsid w:val="46932119"/>
    <w:rsid w:val="476350EE"/>
    <w:rsid w:val="476475F1"/>
    <w:rsid w:val="47A10914"/>
    <w:rsid w:val="492E435B"/>
    <w:rsid w:val="49303C2F"/>
    <w:rsid w:val="49575660"/>
    <w:rsid w:val="4A875AD1"/>
    <w:rsid w:val="4AA12281"/>
    <w:rsid w:val="4ABA7703"/>
    <w:rsid w:val="4B221C9D"/>
    <w:rsid w:val="4B4C2876"/>
    <w:rsid w:val="4C6A768C"/>
    <w:rsid w:val="4CCA09EB"/>
    <w:rsid w:val="4E852F45"/>
    <w:rsid w:val="4F846A83"/>
    <w:rsid w:val="4FBA32EF"/>
    <w:rsid w:val="50772144"/>
    <w:rsid w:val="51245990"/>
    <w:rsid w:val="527F1783"/>
    <w:rsid w:val="52EC6ED2"/>
    <w:rsid w:val="53B6655E"/>
    <w:rsid w:val="53B92A73"/>
    <w:rsid w:val="53C02053"/>
    <w:rsid w:val="53CD10C9"/>
    <w:rsid w:val="55D0559D"/>
    <w:rsid w:val="58004612"/>
    <w:rsid w:val="58207565"/>
    <w:rsid w:val="592A2601"/>
    <w:rsid w:val="5A1C750B"/>
    <w:rsid w:val="5AF412D0"/>
    <w:rsid w:val="5BAF4E87"/>
    <w:rsid w:val="5BE10DB9"/>
    <w:rsid w:val="5BF3746A"/>
    <w:rsid w:val="5E8A70A8"/>
    <w:rsid w:val="5F4C4D58"/>
    <w:rsid w:val="5FA2340C"/>
    <w:rsid w:val="60911000"/>
    <w:rsid w:val="614063F2"/>
    <w:rsid w:val="61812E22"/>
    <w:rsid w:val="625911FD"/>
    <w:rsid w:val="62D76E35"/>
    <w:rsid w:val="646B1B68"/>
    <w:rsid w:val="64AA6B34"/>
    <w:rsid w:val="64DE3312"/>
    <w:rsid w:val="64EF4547"/>
    <w:rsid w:val="64F102BF"/>
    <w:rsid w:val="656767D3"/>
    <w:rsid w:val="65727808"/>
    <w:rsid w:val="65882BD8"/>
    <w:rsid w:val="65D11E9E"/>
    <w:rsid w:val="66AC7BAA"/>
    <w:rsid w:val="671976C4"/>
    <w:rsid w:val="67A2709B"/>
    <w:rsid w:val="68294213"/>
    <w:rsid w:val="683F3A37"/>
    <w:rsid w:val="68FF174A"/>
    <w:rsid w:val="693A6297"/>
    <w:rsid w:val="6AE833CB"/>
    <w:rsid w:val="6BBD539F"/>
    <w:rsid w:val="6D624BD0"/>
    <w:rsid w:val="6DF1687D"/>
    <w:rsid w:val="6E032E11"/>
    <w:rsid w:val="6F1F63C3"/>
    <w:rsid w:val="6F2474E3"/>
    <w:rsid w:val="6F4F630E"/>
    <w:rsid w:val="6F614293"/>
    <w:rsid w:val="6F633DE2"/>
    <w:rsid w:val="6FA32AFD"/>
    <w:rsid w:val="6FDA44C9"/>
    <w:rsid w:val="701337DF"/>
    <w:rsid w:val="70FE623D"/>
    <w:rsid w:val="71267542"/>
    <w:rsid w:val="718F6E95"/>
    <w:rsid w:val="71E63765"/>
    <w:rsid w:val="721D6B97"/>
    <w:rsid w:val="73ED4347"/>
    <w:rsid w:val="74177616"/>
    <w:rsid w:val="745B7503"/>
    <w:rsid w:val="745E3260"/>
    <w:rsid w:val="75FE45EA"/>
    <w:rsid w:val="76125318"/>
    <w:rsid w:val="769F401E"/>
    <w:rsid w:val="76B13D52"/>
    <w:rsid w:val="779D4C6A"/>
    <w:rsid w:val="78A050A6"/>
    <w:rsid w:val="79256331"/>
    <w:rsid w:val="796874ED"/>
    <w:rsid w:val="79761D77"/>
    <w:rsid w:val="79B002F1"/>
    <w:rsid w:val="79D42231"/>
    <w:rsid w:val="7ABB519F"/>
    <w:rsid w:val="7C922172"/>
    <w:rsid w:val="7D204C5D"/>
    <w:rsid w:val="7E7974C9"/>
    <w:rsid w:val="7EA61CC2"/>
    <w:rsid w:val="7EC34ADD"/>
    <w:rsid w:val="7ECC7587"/>
    <w:rsid w:val="DFFFF99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1"/>
    <w:basedOn w:val="1"/>
    <w:next w:val="1"/>
    <w:qFormat/>
    <w:locked/>
    <w:uiPriority w:val="0"/>
    <w:pPr>
      <w:spacing w:before="100" w:beforeAutospacing="1" w:after="100" w:afterAutospacing="1"/>
      <w:jc w:val="left"/>
      <w:outlineLvl w:val="0"/>
    </w:pPr>
    <w:rPr>
      <w:rFonts w:hint="eastAsia" w:ascii="宋体" w:hAnsi="宋体" w:cs="Times New Roman"/>
      <w:b/>
      <w:bCs/>
      <w:kern w:val="44"/>
      <w:sz w:val="48"/>
      <w:szCs w:val="48"/>
    </w:rPr>
  </w:style>
  <w:style w:type="paragraph" w:styleId="4">
    <w:name w:val="heading 2"/>
    <w:basedOn w:val="1"/>
    <w:next w:val="1"/>
    <w:qFormat/>
    <w:locked/>
    <w:uiPriority w:val="0"/>
    <w:pPr>
      <w:keepNext/>
      <w:keepLines/>
      <w:spacing w:line="413" w:lineRule="auto"/>
      <w:outlineLvl w:val="1"/>
    </w:pPr>
    <w:rPr>
      <w:rFonts w:ascii="Arial" w:hAnsi="Arial" w:eastAsia="黑体"/>
      <w:b/>
      <w:sz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locked/>
    <w:uiPriority w:val="0"/>
    <w:pPr>
      <w:spacing w:line="660" w:lineRule="exact"/>
      <w:ind w:firstLine="705"/>
    </w:pPr>
    <w:rPr>
      <w:rFonts w:ascii="仿宋_GB2312" w:eastAsia="仿宋_GB2312"/>
      <w:color w:val="000000"/>
      <w:sz w:val="36"/>
      <w:szCs w:val="36"/>
    </w:rPr>
  </w:style>
  <w:style w:type="paragraph" w:styleId="5">
    <w:name w:val="Body Text"/>
    <w:basedOn w:val="1"/>
    <w:qFormat/>
    <w:uiPriority w:val="99"/>
    <w:rPr>
      <w:rFonts w:eastAsia="文星仿宋"/>
      <w:sz w:val="24"/>
      <w:szCs w:val="24"/>
    </w:rPr>
  </w:style>
  <w:style w:type="paragraph" w:styleId="6">
    <w:name w:val="Balloon Text"/>
    <w:basedOn w:val="1"/>
    <w:link w:val="18"/>
    <w:semiHidden/>
    <w:unhideWhenUsed/>
    <w:qFormat/>
    <w:uiPriority w:val="99"/>
    <w:rPr>
      <w:sz w:val="18"/>
      <w:szCs w:val="18"/>
    </w:rPr>
  </w:style>
  <w:style w:type="paragraph" w:styleId="7">
    <w:name w:val="footer"/>
    <w:basedOn w:val="1"/>
    <w:link w:val="16"/>
    <w:qFormat/>
    <w:uiPriority w:val="99"/>
    <w:pPr>
      <w:tabs>
        <w:tab w:val="center" w:pos="4153"/>
        <w:tab w:val="right" w:pos="8306"/>
      </w:tabs>
      <w:snapToGrid w:val="0"/>
      <w:jc w:val="left"/>
    </w:pPr>
    <w:rPr>
      <w:sz w:val="18"/>
      <w:szCs w:val="18"/>
    </w:rPr>
  </w:style>
  <w:style w:type="paragraph" w:styleId="8">
    <w:name w:val="header"/>
    <w:basedOn w:val="1"/>
    <w:link w:val="15"/>
    <w:semiHidden/>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table" w:styleId="11">
    <w:name w:val="Table Grid"/>
    <w:basedOn w:val="10"/>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paragraph" w:customStyle="1" w:styleId="14">
    <w:name w:val="样式 行距: 固定值 28.9 磅"/>
    <w:basedOn w:val="1"/>
    <w:qFormat/>
    <w:uiPriority w:val="0"/>
    <w:pPr>
      <w:spacing w:line="578" w:lineRule="exact"/>
    </w:pPr>
    <w:rPr>
      <w:rFonts w:cs="宋体"/>
      <w:szCs w:val="20"/>
    </w:rPr>
  </w:style>
  <w:style w:type="character" w:customStyle="1" w:styleId="15">
    <w:name w:val="页眉 Char"/>
    <w:basedOn w:val="12"/>
    <w:link w:val="8"/>
    <w:semiHidden/>
    <w:qFormat/>
    <w:locked/>
    <w:uiPriority w:val="99"/>
    <w:rPr>
      <w:sz w:val="18"/>
      <w:szCs w:val="18"/>
    </w:rPr>
  </w:style>
  <w:style w:type="character" w:customStyle="1" w:styleId="16">
    <w:name w:val="页脚 Char"/>
    <w:basedOn w:val="12"/>
    <w:link w:val="7"/>
    <w:qFormat/>
    <w:locked/>
    <w:uiPriority w:val="99"/>
    <w:rPr>
      <w:sz w:val="18"/>
      <w:szCs w:val="18"/>
    </w:rPr>
  </w:style>
  <w:style w:type="paragraph" w:customStyle="1" w:styleId="17">
    <w:name w:val="BodyText"/>
    <w:basedOn w:val="1"/>
    <w:qFormat/>
    <w:uiPriority w:val="0"/>
    <w:pPr>
      <w:textAlignment w:val="baseline"/>
    </w:pPr>
    <w:rPr>
      <w:rFonts w:ascii="Times New Roman" w:hAnsi="Times New Roman" w:cs="Times New Roman"/>
      <w:szCs w:val="22"/>
    </w:rPr>
  </w:style>
  <w:style w:type="character" w:customStyle="1" w:styleId="18">
    <w:name w:val="批注框文本 Char"/>
    <w:basedOn w:val="12"/>
    <w:link w:val="6"/>
    <w:semiHidden/>
    <w:qFormat/>
    <w:uiPriority w:val="99"/>
    <w:rPr>
      <w:rFonts w:ascii="Calibri" w:hAnsi="Calibri" w:cs="Calibri"/>
      <w:kern w:val="2"/>
      <w:sz w:val="18"/>
      <w:szCs w:val="18"/>
    </w:rPr>
  </w:style>
  <w:style w:type="character" w:customStyle="1" w:styleId="19">
    <w:name w:val="apple-style-span"/>
    <w:qFormat/>
    <w:uiPriority w:val="99"/>
    <w:rPr>
      <w:rFonts w:eastAsia="仿宋_GB2312"/>
      <w:color w:val="00000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Info spid="_x0000_s2068"/>
    <customShpInfo spid="_x0000_s2069"/>
    <customShpInfo spid="_x0000_s207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Pages>
  <Words>1384</Words>
  <Characters>1450</Characters>
  <Lines>19</Lines>
  <Paragraphs>5</Paragraphs>
  <TotalTime>4</TotalTime>
  <ScaleCrop>false</ScaleCrop>
  <LinksUpToDate>false</LinksUpToDate>
  <CharactersWithSpaces>1506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2021-06-23T23:06:00Z</dcterms:created>
  <dc:creator>Windows 用户</dc:creator>
  <cp:lastModifiedBy>鞠静</cp:lastModifiedBy>
  <cp:lastPrinted>2024-05-14T06:13:45Z</cp:lastPrinted>
  <dcterms:modified xsi:type="dcterms:W3CDTF">2024-05-14T06:16:21Z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EB994B8509314E66A23153E89C5A5E6A</vt:lpwstr>
  </property>
</Properties>
</file>